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50" w:rsidRDefault="004B0176" w:rsidP="002E1100">
      <w:pPr>
        <w:spacing w:line="5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773E27">
        <w:rPr>
          <w:rFonts w:ascii="宋体" w:eastAsia="宋体" w:hAnsi="宋体" w:cs="Times New Roman" w:hint="eastAsia"/>
          <w:b/>
          <w:sz w:val="36"/>
          <w:szCs w:val="36"/>
        </w:rPr>
        <w:t>建筑工程学院科研项目经费任务与奖励</w:t>
      </w:r>
      <w:r w:rsidR="00A54BE2">
        <w:rPr>
          <w:rFonts w:ascii="宋体" w:eastAsia="宋体" w:hAnsi="宋体" w:cs="Times New Roman" w:hint="eastAsia"/>
          <w:b/>
          <w:sz w:val="36"/>
          <w:szCs w:val="36"/>
        </w:rPr>
        <w:t>分配</w:t>
      </w:r>
      <w:r w:rsidRPr="00773E27">
        <w:rPr>
          <w:rFonts w:ascii="宋体" w:eastAsia="宋体" w:hAnsi="宋体" w:cs="Times New Roman" w:hint="eastAsia"/>
          <w:b/>
          <w:sz w:val="36"/>
          <w:szCs w:val="36"/>
        </w:rPr>
        <w:t>办法</w:t>
      </w:r>
    </w:p>
    <w:p w:rsidR="00773E27" w:rsidRPr="00773E27" w:rsidRDefault="00773E27" w:rsidP="002E1100">
      <w:pPr>
        <w:spacing w:line="5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4B0176" w:rsidRPr="00773E27" w:rsidRDefault="004B0176" w:rsidP="002E1100">
      <w:pPr>
        <w:spacing w:line="520" w:lineRule="exact"/>
        <w:ind w:firstLine="42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为进一步调动教师科研积极性，</w:t>
      </w:r>
      <w:r w:rsidR="00C80C22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争取科研经费增量，</w:t>
      </w:r>
      <w:r w:rsidR="005C271E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建立科学、</w:t>
      </w:r>
      <w:bookmarkStart w:id="0" w:name="_GoBack"/>
      <w:r w:rsidR="005C271E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合理的科研业绩考核评价体系</w:t>
      </w:r>
      <w:r w:rsidR="002E1100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，</w:t>
      </w:r>
      <w:bookmarkEnd w:id="0"/>
      <w:r w:rsidR="00C80C22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推动学院科研工作持续、</w:t>
      </w:r>
      <w:r w:rsidR="002E1100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健康发展，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根据《黄山学院科研项目经费任务与考核办法》，结合我院实际，特制定</w:t>
      </w:r>
      <w:r w:rsidR="005C271E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本办法。</w:t>
      </w:r>
    </w:p>
    <w:p w:rsidR="00FC5C14" w:rsidRPr="00773E27" w:rsidRDefault="005C271E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成立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学院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科研项目经费任务与奖励审核工作小组，党委书记、院长为组长，党委副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书记、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副院长为副组长，</w:t>
      </w:r>
      <w:r w:rsidR="00773E27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学院学术委员会主任、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各教研室主任、</w:t>
      </w:r>
      <w:r w:rsidR="00A54BE2">
        <w:rPr>
          <w:rFonts w:ascii="仿宋_GB2312" w:eastAsia="仿宋_GB2312" w:hAnsi="宋体" w:cs="宋体" w:hint="eastAsia"/>
          <w:color w:val="000000"/>
          <w:kern w:val="0"/>
          <w:sz w:val="30"/>
        </w:rPr>
        <w:t>秘书、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工会主席为成员。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工作小组负责确定科研项目经费任务与奖励额度。</w:t>
      </w:r>
    </w:p>
    <w:p w:rsidR="00DD7DCC" w:rsidRPr="00DD7DCC" w:rsidRDefault="005C271E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科研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项目经费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任务结合科研积点、学校下发的科研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项目经费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任务以及学院工作室要求等进行设定。职称和人员以当年 1 月 1 日为准。科研积点按正高 6、博士 5、副高 3、硕士和讲师 2 比值计算。</w:t>
      </w:r>
      <w:r w:rsidR="002E1100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具体计算公式为：</w:t>
      </w:r>
      <m:oMath>
        <m:r>
          <m:rPr>
            <m:sty m:val="p"/>
          </m:rPr>
          <w:rPr>
            <w:rFonts w:ascii="Cambria Math" w:eastAsia="仿宋_GB2312" w:hAnsi="Cambria Math" w:cs="宋体"/>
            <w:color w:val="000000"/>
            <w:kern w:val="0"/>
            <w:sz w:val="30"/>
          </w:rPr>
          <m:t>教师科研项目经费任务</m:t>
        </m:r>
        <m:r>
          <m:rPr>
            <m:sty m:val="p"/>
          </m:rPr>
          <w:rPr>
            <w:rFonts w:ascii="Cambria Math" w:eastAsia="仿宋_GB2312" w:hAnsi="Cambria Math" w:cs="宋体"/>
            <w:color w:val="000000"/>
            <w:kern w:val="0"/>
            <w:sz w:val="30"/>
          </w:rPr>
          <m:t>=</m:t>
        </m:r>
        <m:f>
          <m:fPr>
            <m:ctrlPr>
              <w:rPr>
                <w:rFonts w:ascii="Cambria Math" w:eastAsia="仿宋_GB2312" w:hAnsi="Cambria Math" w:cs="宋体"/>
                <w:color w:val="000000"/>
                <w:kern w:val="0"/>
                <w:sz w:val="30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 w:cs="宋体"/>
                <w:color w:val="000000"/>
                <w:kern w:val="0"/>
                <w:sz w:val="30"/>
              </w:rPr>
              <m:t>教师科研积点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 w:cs="宋体"/>
                <w:color w:val="000000"/>
                <w:kern w:val="0"/>
                <w:sz w:val="30"/>
              </w:rPr>
              <m:t>学院科研总积点</m:t>
            </m:r>
          </m:den>
        </m:f>
        <m:r>
          <m:rPr>
            <m:sty m:val="p"/>
          </m:rPr>
          <w:rPr>
            <w:rFonts w:ascii="Cambria Math" w:eastAsia="仿宋_GB2312" w:hAnsi="Cambria Math" w:cs="宋体" w:hint="eastAsia"/>
            <w:color w:val="000000"/>
            <w:kern w:val="0"/>
            <w:sz w:val="30"/>
          </w:rPr>
          <m:t>×</m:t>
        </m:r>
        <m:r>
          <m:rPr>
            <m:sty m:val="p"/>
          </m:rPr>
          <w:rPr>
            <w:rFonts w:ascii="Cambria Math" w:eastAsia="仿宋_GB2312" w:hAnsi="Cambria Math" w:cs="宋体"/>
            <w:color w:val="000000"/>
            <w:kern w:val="0"/>
            <w:sz w:val="30"/>
          </w:rPr>
          <m:t>学院科研项目经费</m:t>
        </m:r>
      </m:oMath>
    </w:p>
    <w:p w:rsidR="00FC5C14" w:rsidRPr="00DD7DCC" w:rsidRDefault="00DD7DCC" w:rsidP="00BD5564">
      <w:pPr>
        <w:pStyle w:val="a3"/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m:oMath>
        <m:r>
          <m:rPr>
            <m:sty m:val="p"/>
          </m:rPr>
          <w:rPr>
            <w:rFonts w:ascii="Cambria Math" w:eastAsia="仿宋_GB2312" w:hAnsi="Cambria Math" w:cs="宋体"/>
            <w:color w:val="000000"/>
            <w:kern w:val="0"/>
            <w:sz w:val="30"/>
          </w:rPr>
          <m:t>任务</m:t>
        </m:r>
      </m:oMath>
      <w:r w:rsidR="00773E27" w:rsidRPr="00DD7DCC">
        <w:rPr>
          <w:rFonts w:ascii="仿宋_GB2312" w:eastAsia="仿宋_GB2312" w:hAnsi="宋体" w:cs="宋体" w:hint="eastAsia"/>
          <w:color w:val="000000"/>
          <w:kern w:val="0"/>
          <w:sz w:val="30"/>
        </w:rPr>
        <w:t>。学院各工作室科研</w:t>
      </w:r>
      <w:r>
        <w:rPr>
          <w:rFonts w:ascii="仿宋_GB2312" w:eastAsia="仿宋_GB2312" w:hAnsi="宋体" w:cs="宋体" w:hint="eastAsia"/>
          <w:color w:val="000000"/>
          <w:kern w:val="0"/>
          <w:sz w:val="30"/>
        </w:rPr>
        <w:t>项目经费</w:t>
      </w:r>
      <w:r w:rsidR="00773E27" w:rsidRPr="00DD7DCC">
        <w:rPr>
          <w:rFonts w:ascii="仿宋_GB2312" w:eastAsia="仿宋_GB2312" w:hAnsi="宋体" w:cs="宋体" w:hint="eastAsia"/>
          <w:color w:val="000000"/>
          <w:kern w:val="0"/>
          <w:sz w:val="30"/>
        </w:rPr>
        <w:t>任务按照其他约定执行。</w:t>
      </w:r>
    </w:p>
    <w:p w:rsidR="00FC5C14" w:rsidRPr="00773E27" w:rsidRDefault="00FC5C14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科研奖励由学校根据当年科研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项目经费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任务完成情况下发，学院不再另行发放，具体分配办法按本办法进行。</w:t>
      </w:r>
      <w:r w:rsidR="00464216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奖励人员的范围根据学校下发的获得科研经费人员名单确定。</w:t>
      </w:r>
    </w:p>
    <w:p w:rsidR="00FC5C14" w:rsidRPr="00773E27" w:rsidRDefault="000C5198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凡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获得科研经费的均予以奖励，具体为：完成经费目标任务未达到 60%的，按2%奖励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。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 xml:space="preserve">完成经费目标任务 60%及以上的，根据经费目标任务完成度分段奖励：完成经费目标任务 60%以内部分，按 4%奖励；经费目标任务大于60%至 80%（含 80%）的部分，按 6%奖励；经费目标任务大于80%至 100%（含 100%）的部分，按 8%奖励；超过经费目标任务 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lastRenderedPageBreak/>
        <w:t>100%的部分，按 10%奖励。因按此办法计算所得与学校下发奖励经费会有差距，所以实际奖励</w:t>
      </w:r>
      <w:r w:rsidR="00464216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额度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须结合学校下发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奖励</w:t>
      </w:r>
      <w:r w:rsidR="00FC5C14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经费及按此办法计算所得数值按比例调整。</w:t>
      </w:r>
    </w:p>
    <w:p w:rsidR="00464216" w:rsidRPr="00773E27" w:rsidRDefault="000C5198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鼓励行政人员参与科学研究，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未列入本学院年初科研项目经费任务但在年终考核时</w:t>
      </w: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纳入本学院的研究经费直接按照10%予以奖励，实际奖励</w:t>
      </w:r>
      <w:r w:rsidR="00464216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额度结合学校下发</w:t>
      </w:r>
      <w:r w:rsidR="00DD7DCC">
        <w:rPr>
          <w:rFonts w:ascii="仿宋_GB2312" w:eastAsia="仿宋_GB2312" w:hAnsi="宋体" w:cs="宋体" w:hint="eastAsia"/>
          <w:color w:val="000000"/>
          <w:kern w:val="0"/>
          <w:sz w:val="30"/>
        </w:rPr>
        <w:t>奖励</w:t>
      </w:r>
      <w:r w:rsidR="00464216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经费及按此办法计算所得数值按比例调整。</w:t>
      </w:r>
    </w:p>
    <w:p w:rsidR="00464216" w:rsidRPr="00773E27" w:rsidRDefault="00464216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该办法由学院科研项目经费任务与奖励审核工作小组负责解释。其他未尽事宜，由工作小组根据相关文件确定。</w:t>
      </w:r>
    </w:p>
    <w:p w:rsidR="00464216" w:rsidRPr="00773E27" w:rsidRDefault="00464216" w:rsidP="00BD5564">
      <w:pPr>
        <w:pStyle w:val="a3"/>
        <w:numPr>
          <w:ilvl w:val="0"/>
          <w:numId w:val="3"/>
        </w:numPr>
        <w:spacing w:line="520" w:lineRule="exact"/>
        <w:ind w:left="391" w:firstLine="600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此办法自</w:t>
      </w:r>
      <w:r w:rsidR="002E1100"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2020年开始执行。</w:t>
      </w:r>
    </w:p>
    <w:p w:rsidR="002E1100" w:rsidRPr="00773E27" w:rsidRDefault="002E1100" w:rsidP="002E1100">
      <w:pPr>
        <w:pStyle w:val="a3"/>
        <w:spacing w:line="520" w:lineRule="exact"/>
        <w:ind w:left="390" w:firstLineChars="0" w:firstLine="0"/>
        <w:rPr>
          <w:rFonts w:ascii="仿宋_GB2312" w:eastAsia="仿宋_GB2312" w:hAnsi="宋体" w:cs="宋体"/>
          <w:color w:val="000000"/>
          <w:kern w:val="0"/>
          <w:sz w:val="30"/>
        </w:rPr>
      </w:pPr>
    </w:p>
    <w:p w:rsidR="002E1100" w:rsidRPr="00773E27" w:rsidRDefault="002E1100" w:rsidP="00773E27">
      <w:pPr>
        <w:pStyle w:val="a3"/>
        <w:wordWrap w:val="0"/>
        <w:spacing w:line="520" w:lineRule="exact"/>
        <w:ind w:left="390" w:firstLineChars="100" w:firstLine="300"/>
        <w:jc w:val="right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 xml:space="preserve">建筑工程学院  </w:t>
      </w:r>
    </w:p>
    <w:p w:rsidR="002E1100" w:rsidRPr="00773E27" w:rsidRDefault="002E1100" w:rsidP="002E1100">
      <w:pPr>
        <w:pStyle w:val="a3"/>
        <w:spacing w:line="520" w:lineRule="exact"/>
        <w:ind w:left="390" w:firstLineChars="0" w:firstLine="0"/>
        <w:jc w:val="right"/>
        <w:rPr>
          <w:rFonts w:ascii="仿宋_GB2312" w:eastAsia="仿宋_GB2312" w:hAnsi="宋体" w:cs="宋体"/>
          <w:color w:val="000000"/>
          <w:kern w:val="0"/>
          <w:sz w:val="30"/>
        </w:rPr>
      </w:pPr>
      <w:r w:rsidRPr="00773E27">
        <w:rPr>
          <w:rFonts w:ascii="仿宋_GB2312" w:eastAsia="仿宋_GB2312" w:hAnsi="宋体" w:cs="宋体" w:hint="eastAsia"/>
          <w:color w:val="000000"/>
          <w:kern w:val="0"/>
          <w:sz w:val="30"/>
        </w:rPr>
        <w:t>2020年7月20日</w:t>
      </w:r>
    </w:p>
    <w:p w:rsidR="005C271E" w:rsidRDefault="005C271E" w:rsidP="00DD7DCC"/>
    <w:sectPr w:rsidR="005C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5C" w:rsidRDefault="00770F5C" w:rsidP="00A54BE2">
      <w:r>
        <w:separator/>
      </w:r>
    </w:p>
  </w:endnote>
  <w:endnote w:type="continuationSeparator" w:id="0">
    <w:p w:rsidR="00770F5C" w:rsidRDefault="00770F5C" w:rsidP="00A5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5C" w:rsidRDefault="00770F5C" w:rsidP="00A54BE2">
      <w:r>
        <w:separator/>
      </w:r>
    </w:p>
  </w:footnote>
  <w:footnote w:type="continuationSeparator" w:id="0">
    <w:p w:rsidR="00770F5C" w:rsidRDefault="00770F5C" w:rsidP="00A5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0F22"/>
    <w:multiLevelType w:val="hybridMultilevel"/>
    <w:tmpl w:val="D46E3F56"/>
    <w:lvl w:ilvl="0" w:tplc="1A743806">
      <w:start w:val="1"/>
      <w:numFmt w:val="japaneseCounting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EA4B0B"/>
    <w:multiLevelType w:val="hybridMultilevel"/>
    <w:tmpl w:val="94C82568"/>
    <w:lvl w:ilvl="0" w:tplc="AAE22A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453275"/>
    <w:multiLevelType w:val="hybridMultilevel"/>
    <w:tmpl w:val="A51A8032"/>
    <w:lvl w:ilvl="0" w:tplc="0DBEB6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B7"/>
    <w:rsid w:val="000C5198"/>
    <w:rsid w:val="002E1100"/>
    <w:rsid w:val="004234E5"/>
    <w:rsid w:val="00432750"/>
    <w:rsid w:val="00464216"/>
    <w:rsid w:val="004B0176"/>
    <w:rsid w:val="005C271E"/>
    <w:rsid w:val="00770F5C"/>
    <w:rsid w:val="00773E27"/>
    <w:rsid w:val="007E21B7"/>
    <w:rsid w:val="00A54BE2"/>
    <w:rsid w:val="00BD5564"/>
    <w:rsid w:val="00C80C22"/>
    <w:rsid w:val="00DD7DCC"/>
    <w:rsid w:val="00F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B7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2E110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E11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11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5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4BE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5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54B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B7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2E110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E11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11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5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4BE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5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5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4</cp:revision>
  <dcterms:created xsi:type="dcterms:W3CDTF">2020-07-18T03:25:00Z</dcterms:created>
  <dcterms:modified xsi:type="dcterms:W3CDTF">2020-07-22T03:22:00Z</dcterms:modified>
</cp:coreProperties>
</file>